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66" w:rsidRPr="007C5A66" w:rsidRDefault="007C5A66" w:rsidP="007C5A66">
      <w:pPr>
        <w:rPr>
          <w:b/>
        </w:rPr>
      </w:pPr>
      <w:r w:rsidRPr="007C5A66">
        <w:rPr>
          <w:b/>
        </w:rPr>
        <w:t>"Türk Resminde Kurtuluş Savaşı Konusu” Sanat ve Bilgi, (Internet Sitesi, www.sanatvebilgi.com), sayı:3, Ocak, 2004</w:t>
      </w:r>
    </w:p>
    <w:p w:rsidR="007C5A66" w:rsidRDefault="007C5A66" w:rsidP="007C5A66">
      <w:r>
        <w:t>Ulusal Kurtuluş Savaşı’mızın Türk Resmine yansıyan duygu ve coşkusunun kaynağını oluşturan ulusal ruh, inanç ve tutku, Türk ulusunun sadece savaş dönemindeki duygusunu değil, kararlılık ve dayanışmada</w:t>
      </w:r>
      <w:bookmarkStart w:id="0" w:name="_GoBack"/>
      <w:bookmarkEnd w:id="0"/>
      <w:r>
        <w:t>n aldığı gücünü göstermektedir.</w:t>
      </w:r>
    </w:p>
    <w:p w:rsidR="007C5A66" w:rsidRDefault="007C5A66" w:rsidP="007C5A66"/>
    <w:p w:rsidR="00FA6488" w:rsidRDefault="007C5A66" w:rsidP="007C5A66">
      <w:r>
        <w:t>Bu resimler Türk ulusu için övündüğü geçmişinin bir gururu olmanın yanı sıra, güvenle baktığı geleceği için de ‘yol gösterici, yönlendirici, eğitici ve ışık tutucu’ bir özellik taşımaktadır.</w:t>
      </w:r>
    </w:p>
    <w:sectPr w:rsidR="00FA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AD"/>
    <w:rsid w:val="007C5A66"/>
    <w:rsid w:val="00F80BAD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4EE2-52C4-4590-9D2C-02F2FD97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pcpackardbell</dc:creator>
  <cp:keywords/>
  <dc:description/>
  <cp:lastModifiedBy>pcpackardbell</cp:lastModifiedBy>
  <cp:revision>2</cp:revision>
  <dcterms:created xsi:type="dcterms:W3CDTF">2018-03-24T21:42:00Z</dcterms:created>
  <dcterms:modified xsi:type="dcterms:W3CDTF">2018-03-24T21:43:00Z</dcterms:modified>
</cp:coreProperties>
</file>